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 mc:Ignorable="w14 wp14 ">
  <w:body>
    <w:p w14:paraId="00000001">
      <w:r>
        <w:rPr>
          <w:lang w:val="fr-FR"/>
        </w:rPr>
        <w:t>Maxence</w:t>
      </w:r>
      <w:r>
        <w:rPr>
          <w:lang w:val="fr-FR"/>
        </w:rPr>
        <w:t xml:space="preserve">                                                     Mercredi 19 Novembre 2025</w:t>
      </w:r>
    </w:p>
    <w:p w14:paraId="00000002">
      <w:r>
        <w:rPr>
          <w:lang w:val="fr-FR"/>
        </w:rPr>
        <w:t>Ronfort</w:t>
      </w:r>
    </w:p>
    <w:p w14:paraId="00000003">
      <w:r>
        <w:rPr>
          <w:lang w:val="fr-FR"/>
        </w:rPr>
        <w:t>BTS SIO2</w:t>
      </w:r>
    </w:p>
    <w:p w14:paraId="00000004">
      <w:pPr>
        <w:tabs>
          <w:tab w:val="left" w:leader="none" w:pos="2668"/>
        </w:tabs>
        <w:rPr/>
      </w:pPr>
      <w:r>
        <w:t xml:space="preserve">                                                </w:t>
      </w:r>
      <w:r>
        <w:rPr>
          <w:b/>
          <w:bCs/>
          <w:lang w:val="fr-FR"/>
        </w:rPr>
        <w:t>Audio FR - Veeam Backup &amp; Replication 12</w:t>
      </w:r>
    </w:p>
    <w:p w14:paraId="00000005">
      <w:pPr>
        <w:tabs>
          <w:tab w:val="left" w:leader="none" w:pos="2668"/>
        </w:tabs>
        <w:rPr/>
      </w:pPr>
    </w:p>
    <w:p w14:paraId="0000000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beforeAutospacing="0" w:after="0" w:afterAutospacing="0" w:line="240" w:lineRule="auto"/>
        <w:ind w:left="0" w:right="0" w:firstLine="0"/>
        <w:jc w:val="left"/>
        <w:rPr>
          <w:b/>
          <w:bCs/>
          <w:u w:val="single"/>
          <w:lang w:val="en-US"/>
        </w:rPr>
      </w:pPr>
      <w:r>
        <w:rPr>
          <w:b/>
          <w:bCs/>
          <w:u w:val="single"/>
          <w:lang w:val="fr-FR"/>
        </w:rPr>
        <w:t xml:space="preserve">1ère étape : </w:t>
      </w:r>
      <w:r>
        <w:rPr>
          <w:rFonts w:ascii="Arial"/>
          <w:b/>
          <w:bCs/>
          <w:color w:val="000000" w:themeColor="text1"/>
          <w:sz w:val="21"/>
          <w:u w:val="single"/>
          <w:rtl w:val="off"/>
          <w:lang w:val="en-US"/>
        </w:rPr>
        <w:t>Installer la solution Veeam Backup &amp; Replication 12 dans une machine virtuelle Windows Server 2022</w:t>
      </w:r>
      <w:r>
        <w:rPr>
          <w:rFonts w:ascii="Segoe UI"/>
          <w:b/>
          <w:bCs/>
          <w:color w:val="000000" w:themeColor="text1"/>
          <w:sz w:val="18"/>
          <w:u w:val="single"/>
          <w:rtl w:val="off"/>
          <w:lang w:val="en-US"/>
        </w:rPr>
        <w:t xml:space="preserve"> </w:t>
      </w:r>
    </w:p>
    <w:p w14:paraId="0000000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beforeAutospacing="0" w:after="0" w:afterAutospacing="0" w:line="240" w:lineRule="auto"/>
        <w:ind w:left="0" w:right="0" w:firstLine="0"/>
        <w:jc w:val="left"/>
        <w:rPr>
          <w:lang w:val="en-US"/>
        </w:rPr>
      </w:pPr>
    </w:p>
    <w:p w14:paraId="0000000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beforeAutospacing="0" w:after="0" w:afterAutospacing="0" w:line="240" w:lineRule="auto"/>
        <w:ind w:left="0" w:right="0" w:firstLine="0"/>
        <w:jc w:val="left"/>
        <w:rPr>
          <w:lang w:val="en-US"/>
        </w:rPr>
      </w:pPr>
      <w:r>
        <w:rPr>
          <w:b/>
          <w:bCs/>
          <w:u w:val="single"/>
          <w:lang w:val="en-US"/>
        </w:rPr>
        <w:t xml:space="preserve">Lancement de l’application VEEAM </w:t>
      </w:r>
      <w:r>
        <w:rPr>
          <w:lang w:val="en-US"/>
        </w:rPr>
        <w:t>:</w:t>
      </w:r>
    </w:p>
    <w:p w14:paraId="0000000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beforeAutospacing="0" w:after="0" w:afterAutospacing="0" w:line="240" w:lineRule="auto"/>
        <w:ind w:left="0" w:right="0" w:firstLine="0"/>
        <w:jc w:val="left"/>
        <w:rPr>
          <w:lang w:val="en-US"/>
        </w:rPr>
      </w:pPr>
    </w:p>
    <w:p w14:paraId="0000000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beforeAutospacing="0" w:after="0" w:afterAutospacing="0" w:line="240" w:lineRule="auto"/>
        <w:ind w:left="0" w:right="0" w:firstLine="0"/>
        <w:jc w:val="left"/>
        <w:rPr>
          <w:lang w:val="en-US"/>
        </w:rPr>
      </w:pPr>
    </w:p>
    <w:p w14:paraId="0000000B">
      <w:pPr>
        <w:tabs>
          <w:tab w:val="left" w:leader="none" w:pos="2668"/>
        </w:tabs>
        <w:rPr>
          <w:lang w:val="en-US"/>
        </w:rPr>
      </w:pPr>
      <w:r>
        <w:rPr>
          <w:lang w:val="en-US"/>
        </w:rPr>
        <w:drawing xmlns:mc="http://schemas.openxmlformats.org/markup-compatibility/2006">
          <wp:inline distT="0" distB="0" distL="0" distR="0">
            <wp:extent cx="5788660" cy="2054860"/>
            <wp:effectExtent l="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C">
      <w:pPr>
        <w:tabs>
          <w:tab w:val="left" w:leader="none" w:pos="2668"/>
        </w:tabs>
        <w:rPr/>
      </w:pPr>
      <w:r>
        <w:rPr/>
        <w:drawing xmlns:mc="http://schemas.openxmlformats.org/markup-compatibility/2006">
          <wp:inline distT="0" distB="0" distL="0" distR="0">
            <wp:extent cx="5731510" cy="2423795"/>
            <wp:effectExtent l="0" t="0" r="0" b="0"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Grp="0" noSelect="0" noChangeAspect="1" noMove="0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D">
      <w:pPr>
        <w:tabs>
          <w:tab w:val="left" w:leader="none" w:pos="2668"/>
        </w:tabs>
        <w:rPr/>
      </w:pPr>
      <w:r>
        <w:rPr/>
        <w:drawing xmlns:mc="http://schemas.openxmlformats.org/markup-compatibility/2006">
          <wp:inline distT="0" distB="0" distL="0" distR="0">
            <wp:extent cx="2522220" cy="1974850"/>
            <wp:effectExtent l="0" t="0" r="0" b="0"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Grp="0" noSelect="0" noChangeAspect="1" noMove="0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E">
      <w:pPr>
        <w:tabs>
          <w:tab w:val="left" w:leader="none" w:pos="2668"/>
        </w:tabs>
        <w:rPr/>
      </w:pPr>
      <w:r>
        <w:rPr>
          <w:lang w:val="fr-FR"/>
        </w:rPr>
        <w:t>Ensuite :</w:t>
      </w:r>
    </w:p>
    <w:p w14:paraId="0000000F">
      <w:pPr>
        <w:tabs>
          <w:tab w:val="left" w:leader="none" w:pos="2668"/>
        </w:tabs>
        <w:rPr/>
      </w:pPr>
    </w:p>
    <w:p w14:paraId="00000010">
      <w:pPr>
        <w:tabs>
          <w:tab w:val="left" w:leader="none" w:pos="2668"/>
        </w:tabs>
        <w:rPr/>
      </w:pPr>
      <w:r>
        <w:rPr/>
        <w:drawing xmlns:mc="http://schemas.openxmlformats.org/markup-compatibility/2006">
          <wp:inline distT="0" distB="0" distL="0" distR="0">
            <wp:extent cx="4350385" cy="3378200"/>
            <wp:effectExtent l="0" t="0" r="0" b="0"/>
            <wp:docPr id="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0" noSelect="0" noChangeAspect="1" noMove="0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0385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1">
      <w:pPr>
        <w:tabs>
          <w:tab w:val="left" w:leader="none" w:pos="2668"/>
        </w:tabs>
        <w:rPr/>
      </w:pPr>
    </w:p>
    <w:p w14:paraId="00000012">
      <w:pPr>
        <w:tabs>
          <w:tab w:val="left" w:leader="none" w:pos="2668"/>
        </w:tabs>
        <w:rPr/>
      </w:pPr>
    </w:p>
    <w:p w14:paraId="00000013">
      <w:pPr>
        <w:tabs>
          <w:tab w:val="left" w:leader="none" w:pos="2668"/>
        </w:tabs>
        <w:rPr/>
      </w:pPr>
    </w:p>
    <w:p w14:paraId="00000014">
      <w:pPr>
        <w:tabs>
          <w:tab w:val="left" w:leader="none" w:pos="2668"/>
        </w:tabs>
        <w:rPr/>
      </w:pPr>
    </w:p>
    <w:p w14:paraId="00000015">
      <w:pPr>
        <w:tabs>
          <w:tab w:val="left" w:leader="none" w:pos="2668"/>
        </w:tabs>
        <w:rPr/>
      </w:pPr>
    </w:p>
    <w:p w14:paraId="00000016">
      <w:pPr>
        <w:tabs>
          <w:tab w:val="left" w:leader="none" w:pos="2668"/>
        </w:tabs>
        <w:rPr/>
      </w:pPr>
    </w:p>
    <w:p w14:paraId="00000017">
      <w:pPr>
        <w:tabs>
          <w:tab w:val="left" w:leader="none" w:pos="2668"/>
        </w:tabs>
        <w:rPr/>
      </w:pPr>
      <w:r>
        <w:rPr/>
        <w:drawing xmlns:mc="http://schemas.openxmlformats.org/markup-compatibility/2006">
          <wp:inline distT="0" distB="0" distL="0" distR="0">
            <wp:extent cx="4312285" cy="3330575"/>
            <wp:effectExtent l="0" t="0" r="0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Grp="0" noSelect="0" noChangeAspect="1" noMove="0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8">
      <w:pPr>
        <w:tabs>
          <w:tab w:val="left" w:leader="none" w:pos="2668"/>
        </w:tabs>
        <w:rPr/>
      </w:pPr>
    </w:p>
    <w:p w14:paraId="00000019">
      <w:pPr>
        <w:tabs>
          <w:tab w:val="left" w:leader="none" w:pos="2668"/>
        </w:tabs>
        <w:rPr/>
      </w:pPr>
      <w:r>
        <w:rPr/>
        <w:drawing xmlns:mc="http://schemas.openxmlformats.org/markup-compatibility/2006">
          <wp:inline distT="0" distB="0" distL="0" distR="0">
            <wp:extent cx="5731510" cy="4615180"/>
            <wp:effectExtent l="0" t="0" r="0" b="0"/>
            <wp:docPr id="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Grp="0" noSelect="0" noChangeAspect="1" noMove="0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A">
      <w:pPr>
        <w:tabs>
          <w:tab w:val="left" w:leader="none" w:pos="2668"/>
        </w:tabs>
        <w:rPr/>
      </w:pPr>
      <w:r>
        <w:rPr>
          <w:lang w:val="fr-FR"/>
        </w:rPr>
        <w:t>(Je vérifie si j’ai toutes les fonctionnalités sur le serveur)</w:t>
      </w:r>
    </w:p>
    <w:p w14:paraId="0000001B">
      <w:pPr>
        <w:tabs>
          <w:tab w:val="left" w:leader="none" w:pos="2668"/>
        </w:tabs>
        <w:rPr/>
      </w:pPr>
      <w:r>
        <w:rPr/>
        <w:drawing xmlns:mc="http://schemas.openxmlformats.org/markup-compatibility/2006">
          <wp:inline distT="0" distB="0" distL="0" distR="0">
            <wp:extent cx="5731510" cy="4322445"/>
            <wp:effectExtent l="0" t="0" r="0" b="0"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Grp="0" noSelect="0" noChangeAspect="1" noMove="0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C">
      <w:pPr>
        <w:tabs>
          <w:tab w:val="left" w:leader="none" w:pos="2668"/>
        </w:tabs>
        <w:rPr/>
      </w:pPr>
    </w:p>
    <w:p w14:paraId="0000001D">
      <w:pPr>
        <w:tabs>
          <w:tab w:val="left" w:leader="none" w:pos="2668"/>
        </w:tabs>
        <w:rPr/>
      </w:pPr>
      <w:r>
        <w:rPr>
          <w:b/>
          <w:bCs/>
          <w:u w:val="single"/>
          <w:lang w:val="fr-FR"/>
        </w:rPr>
        <w:t xml:space="preserve">Ouvrir Veeam </w:t>
      </w:r>
      <w:r>
        <w:rPr>
          <w:lang w:val="fr-FR"/>
        </w:rPr>
        <w:t>:</w:t>
      </w:r>
    </w:p>
    <w:p w14:paraId="0000001E">
      <w:pPr>
        <w:tabs>
          <w:tab w:val="left" w:leader="none" w:pos="2668"/>
        </w:tabs>
        <w:rPr/>
      </w:pPr>
      <w:r>
        <w:rPr>
          <w:lang w:val="fr-FR"/>
        </w:rPr>
        <w:t xml:space="preserve">Il va devoir faire une tâche de paramétrage qui permet de confirmer que tout s’est bien passé </w:t>
      </w:r>
    </w:p>
    <w:p w14:paraId="0000001F">
      <w:pPr>
        <w:tabs>
          <w:tab w:val="left" w:leader="none" w:pos="2668"/>
        </w:tabs>
        <w:rPr/>
      </w:pPr>
      <w:r>
        <w:rPr/>
        <w:drawing xmlns:mc="http://schemas.openxmlformats.org/markup-compatibility/2006">
          <wp:inline distT="0" distB="0" distL="0" distR="0">
            <wp:extent cx="4417695" cy="3104515"/>
            <wp:effectExtent l="0" t="0" r="0" b="0"/>
            <wp:docPr id="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Grp="0" noSelect="0" noChangeAspect="1" noMove="0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0">
      <w:pPr>
        <w:tabs>
          <w:tab w:val="left" w:leader="none" w:pos="2668"/>
        </w:tabs>
        <w:rPr>
          <w:b/>
          <w:bCs/>
          <w:u w:val="single"/>
        </w:rPr>
      </w:pPr>
      <w:r>
        <w:rPr>
          <w:b/>
          <w:bCs/>
          <w:u w:val="single"/>
          <w:lang w:val="fr-FR"/>
        </w:rPr>
        <w:t xml:space="preserve">Etape 2 : Préparer l’environnement de sauvegarde </w:t>
      </w:r>
    </w:p>
    <w:p w14:paraId="00000021">
      <w:pPr>
        <w:tabs>
          <w:tab w:val="left" w:leader="none" w:pos="2668"/>
        </w:tabs>
        <w:rPr/>
      </w:pPr>
    </w:p>
    <w:p w14:paraId="00000022">
      <w:pPr>
        <w:tabs>
          <w:tab w:val="left" w:leader="none" w:pos="2668"/>
        </w:tabs>
        <w:rPr/>
      </w:pPr>
      <w:r>
        <w:rPr/>
        <w:drawing xmlns:mc="http://schemas.openxmlformats.org/markup-compatibility/2006">
          <wp:inline distT="0" distB="0" distL="0" distR="0">
            <wp:extent cx="5731510" cy="3645535"/>
            <wp:effectExtent l="0" t="0" r="0" b="0"/>
            <wp:docPr id="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Grp="0" noSelect="0" noChangeAspect="1" noMove="0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3">
      <w:pPr>
        <w:tabs>
          <w:tab w:val="left" w:leader="none" w:pos="2668"/>
        </w:tabs>
        <w:rPr/>
      </w:pPr>
    </w:p>
    <w:p w14:paraId="00000024">
      <w:pPr>
        <w:tabs>
          <w:tab w:val="left" w:leader="none" w:pos="2668"/>
        </w:tabs>
        <w:rPr>
          <w:b/>
          <w:bCs/>
          <w:u w:val="single"/>
        </w:rPr>
      </w:pPr>
      <w:r>
        <w:rPr>
          <w:b/>
          <w:bCs/>
          <w:u w:val="single"/>
          <w:lang w:val="fr-FR"/>
        </w:rPr>
        <w:t>Création un nouveau avec la catégorie “adréposity”</w:t>
      </w:r>
    </w:p>
    <w:p w14:paraId="00000025">
      <w:pPr>
        <w:tabs>
          <w:tab w:val="left" w:leader="none" w:pos="2668"/>
        </w:tabs>
        <w:rPr/>
      </w:pPr>
    </w:p>
    <w:p w14:paraId="00000026">
      <w:pPr>
        <w:tabs>
          <w:tab w:val="left" w:leader="none" w:pos="2668"/>
        </w:tabs>
        <w:rPr/>
      </w:pPr>
      <w:r>
        <w:rPr/>
        <w:drawing xmlns:mc="http://schemas.openxmlformats.org/markup-compatibility/2006">
          <wp:inline distT="0" distB="0" distL="0" distR="0">
            <wp:extent cx="5731510" cy="2325370"/>
            <wp:effectExtent l="0" t="0" r="0" b="0"/>
            <wp:docPr id="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Grp="0" noSelect="0" noChangeAspect="1" noMove="0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7">
      <w:pPr>
        <w:tabs>
          <w:tab w:val="left" w:leader="none" w:pos="2668"/>
        </w:tabs>
        <w:rPr/>
      </w:pPr>
    </w:p>
    <w:p w14:paraId="00000028">
      <w:pPr>
        <w:tabs>
          <w:tab w:val="left" w:leader="none" w:pos="2668"/>
        </w:tabs>
        <w:rPr/>
      </w:pPr>
      <w:r>
        <w:rPr/>
        <w:drawing xmlns:mc="http://schemas.openxmlformats.org/markup-compatibility/2006">
          <wp:inline distT="0" distB="0" distL="0" distR="0">
            <wp:extent cx="4292600" cy="3638550"/>
            <wp:effectExtent l="0" t="0" r="0" b="0"/>
            <wp:docPr id="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Grp="0" noSelect="0" noChangeAspect="1" noMove="0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9">
      <w:pPr>
        <w:tabs>
          <w:tab w:val="left" w:leader="none" w:pos="2668"/>
        </w:tabs>
        <w:rPr/>
      </w:pPr>
    </w:p>
    <w:p w14:paraId="0000002A">
      <w:pPr>
        <w:tabs>
          <w:tab w:val="left" w:leader="none" w:pos="2668"/>
        </w:tabs>
        <w:rPr/>
      </w:pPr>
      <w:r>
        <w:rPr>
          <w:lang w:val="fr-FR"/>
        </w:rPr>
        <w:t>Cliquer sur la catégorie “</w:t>
      </w:r>
      <w:r>
        <w:rPr>
          <w:b/>
          <w:bCs/>
          <w:u w:val="single"/>
          <w:lang w:val="fr-FR"/>
        </w:rPr>
        <w:t>Network attached storage</w:t>
      </w:r>
      <w:r>
        <w:rPr>
          <w:lang w:val="fr-FR"/>
        </w:rPr>
        <w:t>” et cliquer sur la catégorie “</w:t>
      </w:r>
      <w:r>
        <w:rPr>
          <w:b/>
          <w:bCs/>
          <w:u w:val="single"/>
          <w:lang w:val="fr-FR"/>
        </w:rPr>
        <w:t>SMB Share</w:t>
      </w:r>
      <w:r>
        <w:rPr>
          <w:lang w:val="fr-FR"/>
        </w:rPr>
        <w:t>” :</w:t>
      </w:r>
    </w:p>
    <w:p w14:paraId="0000002B">
      <w:pPr>
        <w:tabs>
          <w:tab w:val="left" w:leader="none" w:pos="2668"/>
        </w:tabs>
        <w:rPr/>
      </w:pPr>
      <w:r>
        <w:rPr/>
        <w:drawing xmlns:mc="http://schemas.openxmlformats.org/markup-compatibility/2006">
          <wp:inline distT="0" distB="0" distL="0" distR="0">
            <wp:extent cx="4283075" cy="692785"/>
            <wp:effectExtent l="0" t="0" r="0" b="0"/>
            <wp:docPr id="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Grp="0" noSelect="0" noChangeAspect="1" noMove="0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3075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 distT="0" distB="0" distL="0" distR="0">
            <wp:extent cx="2521585" cy="2181225"/>
            <wp:effectExtent l="0" t="0" r="0" b="0"/>
            <wp:docPr id="4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Grp="0" noSelect="0" noChangeAspect="1" noMove="0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C">
      <w:pPr>
        <w:tabs>
          <w:tab w:val="left" w:leader="none" w:pos="2668"/>
        </w:tabs>
        <w:rPr/>
      </w:pPr>
    </w:p>
    <w:p w14:paraId="0000002D">
      <w:pPr>
        <w:tabs>
          <w:tab w:val="left" w:leader="none" w:pos="2668"/>
        </w:tabs>
        <w:rPr/>
      </w:pPr>
    </w:p>
    <w:p w14:paraId="0000002E">
      <w:pPr>
        <w:tabs>
          <w:tab w:val="left" w:leader="none" w:pos="2668"/>
        </w:tabs>
        <w:rPr/>
      </w:pPr>
      <w:r>
        <w:rPr/>
        <w:drawing xmlns:mc="http://schemas.openxmlformats.org/markup-compatibility/2006">
          <wp:inline distT="0" distB="0" distL="0" distR="0">
            <wp:extent cx="4083050" cy="2900680"/>
            <wp:effectExtent l="0" t="0" r="0" b="0"/>
            <wp:docPr id="5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Grp="0" noSelect="0" noChangeAspect="1" noMove="0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F">
      <w:pPr>
        <w:tabs>
          <w:tab w:val="left" w:leader="none" w:pos="2668"/>
        </w:tabs>
        <w:rPr/>
      </w:pPr>
    </w:p>
    <w:p w14:paraId="00000030">
      <w:pPr>
        <w:tabs>
          <w:tab w:val="left" w:leader="none" w:pos="2668"/>
        </w:tabs>
        <w:rPr/>
      </w:pPr>
      <w:r>
        <w:rPr>
          <w:lang w:val="fr-FR"/>
        </w:rPr>
        <w:t>On me demande le chemin ou je vais envoyer les données</w:t>
      </w:r>
    </w:p>
    <w:p w14:paraId="00000031">
      <w:pPr>
        <w:tabs>
          <w:tab w:val="left" w:leader="none" w:pos="2668"/>
        </w:tabs>
        <w:rPr/>
      </w:pPr>
      <w:r>
        <w:rPr/>
        <w:drawing xmlns:mc="http://schemas.openxmlformats.org/markup-compatibility/2006">
          <wp:inline distT="0" distB="0" distL="0" distR="0">
            <wp:extent cx="4831715" cy="3724910"/>
            <wp:effectExtent l="0" t="0" r="0" b="0"/>
            <wp:docPr id="5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Grp="0" noSelect="0" noChangeAspect="1" noMove="0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2">
      <w:pPr>
        <w:tabs>
          <w:tab w:val="left" w:leader="none" w:pos="2668"/>
        </w:tabs>
        <w:ind w:right="0"/>
        <w:rPr/>
      </w:pPr>
    </w:p>
    <w:p w14:paraId="00000033">
      <w:pPr>
        <w:tabs>
          <w:tab w:val="left" w:leader="none" w:pos="2668"/>
        </w:tabs>
        <w:ind w:right="0"/>
        <w:rPr/>
      </w:pPr>
      <w:r>
        <w:rPr>
          <w:lang w:val="fr-FR"/>
        </w:rPr>
        <w:t xml:space="preserve">Je suis aller sur mon serveur de fichier “2SIO-MR-FS-SRV-V-ALI-SRV” qui va accueillir la sauvegarde </w:t>
      </w:r>
    </w:p>
    <w:p w14:paraId="00000034">
      <w:pPr>
        <w:tabs>
          <w:tab w:val="left" w:leader="none" w:pos="2668"/>
        </w:tabs>
        <w:ind w:right="0"/>
        <w:rPr/>
      </w:pPr>
    </w:p>
    <w:p w14:paraId="00000035">
      <w:pPr>
        <w:tabs>
          <w:tab w:val="left" w:leader="none" w:pos="2668"/>
        </w:tabs>
        <w:ind w:right="0"/>
        <w:rPr/>
      </w:pPr>
      <w:r>
        <w:rPr/>
        <w:drawing xmlns:mc="http://schemas.openxmlformats.org/markup-compatibility/2006">
          <wp:inline distT="0" distB="0" distL="0" distR="0">
            <wp:extent cx="5731510" cy="3629660"/>
            <wp:effectExtent l="0" t="0" r="0" b="0"/>
            <wp:docPr id="5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Grp="0" noSelect="0" noChangeAspect="1" noMove="0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6">
      <w:pPr>
        <w:tabs>
          <w:tab w:val="left" w:leader="none" w:pos="2668"/>
        </w:tabs>
        <w:rPr/>
      </w:pPr>
    </w:p>
    <w:p w14:paraId="00000037">
      <w:pPr>
        <w:tabs>
          <w:tab w:val="left" w:leader="none" w:pos="2668"/>
        </w:tabs>
        <w:rPr/>
      </w:pPr>
      <w:r>
        <w:rPr>
          <w:lang w:val="fr-FR"/>
        </w:rPr>
        <w:t xml:space="preserve">Création d’un dossier </w:t>
      </w:r>
      <w:r>
        <w:rPr>
          <w:b/>
          <w:bCs/>
          <w:i/>
          <w:iCs/>
          <w:u w:val="single"/>
          <w:lang w:val="fr-FR"/>
        </w:rPr>
        <w:t xml:space="preserve">“Sauvegarde” </w:t>
      </w:r>
      <w:r>
        <w:rPr>
          <w:lang w:val="fr-FR"/>
        </w:rPr>
        <w:t xml:space="preserve">, ensuite d’aller dans les propriétés pour qu’il soit accessible à VEEAM sur le réseau et aller dans la catégorie </w:t>
      </w:r>
      <w:r>
        <w:rPr>
          <w:b/>
          <w:bCs/>
          <w:i/>
          <w:iCs/>
          <w:u w:val="single"/>
          <w:lang w:val="fr-FR"/>
        </w:rPr>
        <w:t xml:space="preserve">“partage” </w:t>
      </w:r>
      <w:r>
        <w:rPr>
          <w:lang w:val="fr-FR"/>
        </w:rPr>
        <w:t xml:space="preserve"> </w:t>
      </w:r>
    </w:p>
    <w:p w14:paraId="00000038">
      <w:pPr>
        <w:tabs>
          <w:tab w:val="left" w:leader="none" w:pos="2668"/>
        </w:tabs>
        <w:rPr/>
      </w:pPr>
      <w:r>
        <w:rPr>
          <w:lang w:val="fr-FR"/>
        </w:rPr>
        <w:t>-&gt; Cliquez sur la catégorie “Partage avancé”</w:t>
      </w:r>
    </w:p>
    <w:p w14:paraId="00000039">
      <w:pPr>
        <w:tabs>
          <w:tab w:val="left" w:leader="none" w:pos="2668"/>
        </w:tabs>
        <w:rPr/>
      </w:pPr>
      <w:r>
        <w:rPr/>
        <w:drawing xmlns:mc="http://schemas.openxmlformats.org/markup-compatibility/2006">
          <wp:inline distT="0" distB="0" distL="0" distR="0">
            <wp:extent cx="4429125" cy="5010150"/>
            <wp:effectExtent l="0" t="0" r="0" b="0"/>
            <wp:docPr id="5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Grp="0" noSelect="0" noChangeAspect="1" noMove="0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A">
      <w:pPr>
        <w:tabs>
          <w:tab w:val="left" w:leader="none" w:pos="2668"/>
        </w:tabs>
        <w:rPr/>
      </w:pPr>
    </w:p>
    <w:p w14:paraId="0000003B">
      <w:pPr>
        <w:tabs>
          <w:tab w:val="left" w:leader="none" w:pos="2668"/>
        </w:tabs>
        <w:rPr/>
      </w:pPr>
      <w:r>
        <w:rPr>
          <w:lang w:val="fr-FR"/>
        </w:rPr>
        <w:t xml:space="preserve">Ensuite, cliqué sur la catégorie “partager ce dossier”  et autorisation </w:t>
      </w:r>
    </w:p>
    <w:p w14:paraId="0000003C">
      <w:pPr>
        <w:tabs>
          <w:tab w:val="left" w:leader="none" w:pos="2668"/>
        </w:tabs>
        <w:rPr/>
      </w:pPr>
      <w:r>
        <w:rPr/>
        <w:drawing xmlns:mc="http://schemas.openxmlformats.org/markup-compatibility/2006">
          <wp:inline distT="0" distB="0" distL="0" distR="0">
            <wp:extent cx="2386330" cy="2386330"/>
            <wp:effectExtent l="0" t="0" r="0" b="0"/>
            <wp:docPr id="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Grp="0" noSelect="0" noChangeAspect="1" noMove="0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D">
      <w:pPr>
        <w:tabs>
          <w:tab w:val="left" w:leader="none" w:pos="2668"/>
        </w:tabs>
        <w:rPr/>
      </w:pPr>
    </w:p>
    <w:p w14:paraId="0000003E">
      <w:pPr>
        <w:tabs>
          <w:tab w:val="left" w:leader="none" w:pos="2668"/>
        </w:tabs>
        <w:rPr/>
      </w:pPr>
      <w:r>
        <w:rPr/>
        <w:drawing xmlns:mc="http://schemas.openxmlformats.org/markup-compatibility/2006">
          <wp:inline distT="0" distB="0" distL="0" distR="0">
            <wp:extent cx="2155825" cy="2714625"/>
            <wp:effectExtent l="0" t="0" r="0" b="0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Grp="0" noSelect="0" noChangeAspect="1" noMove="0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</w:p>
    <w:p w14:paraId="0000003F">
      <w:pPr>
        <w:tabs>
          <w:tab w:val="left" w:leader="none" w:pos="2668"/>
        </w:tabs>
        <w:rPr/>
      </w:pPr>
    </w:p>
    <w:p w14:paraId="00000040">
      <w:pPr>
        <w:tabs>
          <w:tab w:val="left" w:leader="none" w:pos="2668"/>
        </w:tabs>
        <w:rPr/>
      </w:pPr>
      <w:r>
        <w:rPr>
          <w:lang w:val="fr-FR"/>
        </w:rPr>
        <w:t>2 possibilitées : - Soit créer un utilisateur dédié à VEEAM</w:t>
      </w:r>
    </w:p>
    <w:p w14:paraId="00000041">
      <w:pPr>
        <w:numPr>
          <w:ilvl w:val="0"/>
          <w:numId w:val="2"/>
        </w:numPr>
        <w:tabs>
          <w:tab w:val="left" w:leader="none" w:pos="2668"/>
        </w:tabs>
        <w:rPr/>
      </w:pPr>
      <w:r>
        <w:rPr>
          <w:lang w:val="fr-FR"/>
        </w:rPr>
        <w:t>Soit utiliser l’administrateur du domaine mais moins sécurisé car cause (corrompu ou inversement</w:t>
      </w:r>
    </w:p>
    <w:p w14:paraId="00000042">
      <w:pPr>
        <w:tabs>
          <w:tab w:val="left" w:leader="none" w:pos="2668"/>
        </w:tabs>
        <w:ind w:right="0"/>
        <w:rPr/>
      </w:pPr>
      <w:r>
        <w:rPr/>
        <w:drawing xmlns:mc="http://schemas.openxmlformats.org/markup-compatibility/2006">
          <wp:inline distT="0" distB="0" distL="0" distR="0">
            <wp:extent cx="3448050" cy="4200525"/>
            <wp:effectExtent l="0" t="0" r="0" b="0"/>
            <wp:docPr id="5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Grp="0" noSelect="0" noChangeAspect="1" noMove="0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3">
      <w:pPr>
        <w:tabs>
          <w:tab w:val="left" w:leader="none" w:pos="2668"/>
        </w:tabs>
        <w:ind w:right="0"/>
        <w:rPr/>
      </w:pPr>
      <w:r>
        <w:rPr>
          <w:lang w:val="fr-FR"/>
        </w:rPr>
        <w:t xml:space="preserve">Je vais faire pareil dans la catégorie “Sécurité”  et j’ai cliqué sur la catégorie “avancé” </w:t>
      </w:r>
    </w:p>
    <w:p w14:paraId="00000044">
      <w:pPr>
        <w:tabs>
          <w:tab w:val="left" w:leader="none" w:pos="2668"/>
        </w:tabs>
        <w:ind w:right="0"/>
        <w:rPr/>
      </w:pPr>
    </w:p>
    <w:p w14:paraId="00000045">
      <w:pPr>
        <w:tabs>
          <w:tab w:val="left" w:leader="none" w:pos="2668"/>
        </w:tabs>
        <w:ind w:right="0"/>
        <w:rPr/>
      </w:pPr>
      <w:r>
        <w:rPr/>
        <w:drawing xmlns:mc="http://schemas.openxmlformats.org/markup-compatibility/2006">
          <wp:inline distT="0" distB="0" distL="0" distR="0">
            <wp:extent cx="2873375" cy="2934335"/>
            <wp:effectExtent l="0" t="0" r="0" b="0"/>
            <wp:docPr id="5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Grp="0" noSelect="0" noChangeAspect="1" noMove="0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6">
      <w:pPr>
        <w:tabs>
          <w:tab w:val="left" w:leader="none" w:pos="2668"/>
        </w:tabs>
        <w:ind w:right="0"/>
        <w:rPr/>
      </w:pPr>
    </w:p>
    <w:p w14:paraId="00000047">
      <w:pPr>
        <w:tabs>
          <w:tab w:val="left" w:leader="none" w:pos="2668"/>
        </w:tabs>
        <w:ind w:right="0"/>
        <w:rPr/>
      </w:pPr>
      <w:r>
        <w:rPr/>
        <w:drawing xmlns:mc="http://schemas.openxmlformats.org/markup-compatibility/2006">
          <wp:inline distT="0" distB="0" distL="0" distR="0">
            <wp:extent cx="3463290" cy="2340610"/>
            <wp:effectExtent l="0" t="0" r="0" b="0"/>
            <wp:docPr id="5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Grp="0" noSelect="0" noChangeAspect="1" noMove="0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8">
      <w:pPr>
        <w:tabs>
          <w:tab w:val="left" w:leader="none" w:pos="2668"/>
        </w:tabs>
        <w:ind w:right="0"/>
        <w:rPr/>
      </w:pPr>
      <w:r>
        <w:rPr>
          <w:lang w:val="fr-FR"/>
        </w:rPr>
        <w:t>Ensuite, désactivé l’héritage</w:t>
      </w:r>
    </w:p>
    <w:p w14:paraId="00000049">
      <w:pPr>
        <w:tabs>
          <w:tab w:val="left" w:leader="none" w:pos="2668"/>
        </w:tabs>
        <w:ind w:right="0"/>
        <w:rPr/>
      </w:pPr>
      <w:r>
        <w:rPr/>
        <w:drawing xmlns:mc="http://schemas.openxmlformats.org/markup-compatibility/2006">
          <wp:inline distT="0" distB="0" distL="0" distR="0">
            <wp:extent cx="1254760" cy="316865"/>
            <wp:effectExtent l="0" t="0" r="0" b="0"/>
            <wp:docPr id="5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Grp="0" noSelect="0" noChangeAspect="1" noMove="0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A">
      <w:pPr>
        <w:tabs>
          <w:tab w:val="left" w:leader="none" w:pos="2668"/>
        </w:tabs>
        <w:ind w:right="0"/>
        <w:rPr/>
      </w:pPr>
      <w:r>
        <w:rPr/>
        <w:drawing xmlns:mc="http://schemas.openxmlformats.org/markup-compatibility/2006">
          <wp:inline distT="0" distB="0" distL="0" distR="0">
            <wp:extent cx="2017395" cy="1017905"/>
            <wp:effectExtent l="0" t="0" r="0" b="0"/>
            <wp:docPr id="6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Grp="0" noSelect="0" noChangeAspect="1" noMove="0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B">
      <w:pPr>
        <w:tabs>
          <w:tab w:val="left" w:leader="none" w:pos="2668"/>
        </w:tabs>
        <w:ind w:right="0"/>
        <w:rPr/>
      </w:pPr>
      <w:r>
        <w:rPr>
          <w:lang w:val="fr-FR"/>
        </w:rPr>
        <w:t xml:space="preserve">Après, supprimé la 3ème catégorie et 4 catégorie  </w:t>
      </w:r>
    </w:p>
    <w:p w14:paraId="0000004C">
      <w:pPr>
        <w:tabs>
          <w:tab w:val="left" w:leader="none" w:pos="2668"/>
        </w:tabs>
        <w:ind w:right="0"/>
        <w:rPr/>
      </w:pPr>
      <w:r>
        <w:rPr>
          <w:lang w:val="fr-FR"/>
        </w:rPr>
        <w:t xml:space="preserve">(Vidéo : Photo de Geek Advisor) : - j’ai supprimé et sauvegardé les types et après validé </w:t>
      </w:r>
    </w:p>
    <w:p w14:paraId="0000004D">
      <w:pPr>
        <w:tabs>
          <w:tab w:val="left" w:leader="none" w:pos="2668"/>
        </w:tabs>
        <w:ind w:right="0"/>
        <w:rPr/>
      </w:pPr>
      <w:r>
        <w:rPr/>
        <w:drawing xmlns:mc="http://schemas.openxmlformats.org/markup-compatibility/2006">
          <wp:inline distT="0" distB="0" distL="0" distR="0">
            <wp:extent cx="4918710" cy="3089910"/>
            <wp:effectExtent l="0" t="0" r="0" b="0"/>
            <wp:docPr id="6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Grp="0" noSelect="0" noChangeAspect="1" noMove="0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E">
      <w:pPr>
        <w:tabs>
          <w:tab w:val="left" w:leader="none" w:pos="2668"/>
        </w:tabs>
        <w:ind w:right="0"/>
        <w:rPr/>
      </w:pPr>
    </w:p>
    <w:p w14:paraId="0000004F">
      <w:pPr>
        <w:tabs>
          <w:tab w:val="left" w:leader="none" w:pos="2668"/>
        </w:tabs>
        <w:ind w:right="0"/>
        <w:rPr/>
      </w:pPr>
      <w:r>
        <w:rPr>
          <w:lang w:val="fr-FR"/>
        </w:rPr>
        <w:t>Retourné sur le serveur VEEAM pour terminer la destination de sauvegarde</w:t>
      </w:r>
    </w:p>
    <w:p w14:paraId="00000050">
      <w:pPr>
        <w:tabs>
          <w:tab w:val="left" w:leader="none" w:pos="2668"/>
        </w:tabs>
        <w:ind w:right="0"/>
        <w:rPr/>
      </w:pPr>
    </w:p>
    <w:p w14:paraId="00000051">
      <w:pPr>
        <w:tabs>
          <w:tab w:val="left" w:leader="none" w:pos="2668"/>
        </w:tabs>
        <w:ind w:right="0"/>
        <w:rPr/>
      </w:pPr>
      <w:r>
        <w:rPr/>
        <w:drawing xmlns:mc="http://schemas.openxmlformats.org/markup-compatibility/2006">
          <wp:inline distT="0" distB="0" distL="0" distR="0">
            <wp:extent cx="5731510" cy="3247390"/>
            <wp:effectExtent l="0" t="0" r="0" b="0"/>
            <wp:docPr id="6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Grp="0" noSelect="0" noChangeAspect="1" noMove="0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2">
      <w:pPr>
        <w:tabs>
          <w:tab w:val="left" w:leader="none" w:pos="2668"/>
        </w:tabs>
        <w:ind w:right="0"/>
        <w:rPr/>
      </w:pPr>
    </w:p>
    <w:p w14:paraId="00000053">
      <w:pPr>
        <w:tabs>
          <w:tab w:val="left" w:leader="none" w:pos="2668"/>
        </w:tabs>
        <w:ind w:right="0"/>
        <w:rPr/>
      </w:pPr>
      <w:r>
        <w:rPr/>
        <w:drawing xmlns:mc="http://schemas.openxmlformats.org/markup-compatibility/2006">
          <wp:inline distT="0" distB="0" distL="0" distR="0">
            <wp:extent cx="5731510" cy="4036695"/>
            <wp:effectExtent l="0" t="0" r="0" b="0"/>
            <wp:docPr id="6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Grp="0" noSelect="0" noChangeAspect="1" noMove="0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4">
      <w:pPr>
        <w:tabs>
          <w:tab w:val="left" w:leader="none" w:pos="2668"/>
        </w:tabs>
        <w:ind w:right="0"/>
        <w:rPr/>
      </w:pPr>
    </w:p>
    <w:p w14:paraId="00000055">
      <w:pPr>
        <w:tabs>
          <w:tab w:val="left" w:leader="none" w:pos="2668"/>
        </w:tabs>
        <w:ind w:right="0"/>
        <w:rPr/>
      </w:pPr>
      <w:r>
        <w:rPr>
          <w:lang w:val="fr-FR"/>
        </w:rPr>
        <w:t xml:space="preserve">Maintenant que j’ai fini d’ajouter la destination de sauvegarde, je vais sauvegarder des fichiers ou même un serveur entier qui serait autonome </w:t>
      </w:r>
    </w:p>
    <w:p w14:paraId="00000056">
      <w:pPr>
        <w:tabs>
          <w:tab w:val="left" w:leader="none" w:pos="2668"/>
        </w:tabs>
        <w:ind w:right="0"/>
        <w:rPr/>
      </w:pPr>
    </w:p>
    <w:p w14:paraId="00000057">
      <w:pPr>
        <w:tabs>
          <w:tab w:val="left" w:leader="none" w:pos="2668"/>
        </w:tabs>
        <w:ind w:right="0"/>
        <w:rPr/>
      </w:pPr>
      <w:r>
        <w:rPr/>
        <w:drawing xmlns:mc="http://schemas.openxmlformats.org/markup-compatibility/2006">
          <wp:inline distT="0" distB="0" distL="0" distR="0">
            <wp:extent cx="5731510" cy="3249295"/>
            <wp:effectExtent l="0" t="0" r="0" b="0"/>
            <wp:docPr id="6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Grp="0" noSelect="0" noChangeAspect="1" noMove="0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8">
      <w:pPr>
        <w:tabs>
          <w:tab w:val="left" w:leader="none" w:pos="2668"/>
        </w:tabs>
        <w:ind w:right="0"/>
        <w:rPr/>
      </w:pPr>
      <w:r>
        <w:rPr>
          <w:lang w:val="fr-FR"/>
        </w:rPr>
        <w:t>Cliquer sur la catégorie “Backup Job” et ensuite “Windows Computer” et après mettre dans type “</w:t>
      </w:r>
      <w:r>
        <w:rPr>
          <w:lang w:val="fr-FR"/>
        </w:rPr>
        <w:t>Serve</w:t>
      </w:r>
      <w:r>
        <w:rPr>
          <w:lang w:val="fr-FR"/>
        </w:rPr>
        <w:t>r”</w:t>
      </w:r>
    </w:p>
    <w:p w14:paraId="00000059">
      <w:pPr>
        <w:tabs>
          <w:tab w:val="left" w:leader="none" w:pos="2668"/>
        </w:tabs>
        <w:ind w:right="0"/>
        <w:rPr/>
      </w:pPr>
      <w:r>
        <w:rPr/>
        <w:drawing xmlns:mc="http://schemas.openxmlformats.org/markup-compatibility/2006">
          <wp:inline distT="0" distB="0" distL="0" distR="0">
            <wp:extent cx="5072380" cy="3984625"/>
            <wp:effectExtent l="0" t="0" r="0" b="0"/>
            <wp:docPr id="6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Grp="0" noSelect="0" noChangeAspect="1" noMove="0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A">
      <w:pPr>
        <w:tabs>
          <w:tab w:val="left" w:leader="none" w:pos="2668"/>
        </w:tabs>
        <w:ind w:right="0"/>
        <w:rPr/>
      </w:pPr>
      <w:r>
        <w:rPr/>
        <w:drawing xmlns:mc="http://schemas.openxmlformats.org/markup-compatibility/2006">
          <wp:inline distT="0" distB="0" distL="0" distR="0">
            <wp:extent cx="5731510" cy="4176395"/>
            <wp:effectExtent l="0" t="0" r="0" b="0"/>
            <wp:docPr id="6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Grp="0" noSelect="0" noChangeAspect="1" noMove="0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B">
      <w:pPr>
        <w:tabs>
          <w:tab w:val="left" w:leader="none" w:pos="2668"/>
        </w:tabs>
        <w:ind w:right="0"/>
        <w:rPr/>
      </w:pPr>
    </w:p>
    <w:p w14:paraId="0000005C">
      <w:pPr>
        <w:tabs>
          <w:tab w:val="left" w:leader="none" w:pos="2668"/>
        </w:tabs>
        <w:ind w:right="0"/>
        <w:rPr/>
      </w:pPr>
      <w:r>
        <w:rPr/>
        <w:drawing xmlns:mc="http://schemas.openxmlformats.org/markup-compatibility/2006">
          <wp:inline distT="0" distB="0" distL="0" distR="0">
            <wp:extent cx="5563235" cy="3946525"/>
            <wp:effectExtent l="0" t="0" r="0" b="0"/>
            <wp:docPr id="6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Grp="0" noSelect="0" noChangeAspect="1" noMove="0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D">
      <w:pPr>
        <w:tabs>
          <w:tab w:val="left" w:leader="none" w:pos="2668"/>
        </w:tabs>
        <w:ind w:right="0"/>
        <w:rPr/>
      </w:pPr>
      <w:r>
        <w:rPr/>
        <w:drawing xmlns:mc="http://schemas.openxmlformats.org/markup-compatibility/2006">
          <wp:inline distT="0" distB="0" distL="0" distR="0">
            <wp:extent cx="5731510" cy="4133215"/>
            <wp:effectExtent l="0" t="0" r="0" b="0"/>
            <wp:docPr id="6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Grp="0" noSelect="0" noChangeAspect="1" noMove="0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E">
      <w:pPr>
        <w:tabs>
          <w:tab w:val="left" w:leader="none" w:pos="2668"/>
        </w:tabs>
        <w:ind w:right="0"/>
        <w:rPr/>
      </w:pPr>
    </w:p>
    <w:p w14:paraId="0000005F">
      <w:pPr>
        <w:tabs>
          <w:tab w:val="left" w:leader="none" w:pos="2668"/>
        </w:tabs>
        <w:ind w:right="0"/>
        <w:rPr/>
      </w:pPr>
      <w:r>
        <w:rPr/>
        <w:drawing xmlns:mc="http://schemas.openxmlformats.org/markup-compatibility/2006">
          <wp:inline distT="0" distB="0" distL="0" distR="0">
            <wp:extent cx="5092065" cy="3975100"/>
            <wp:effectExtent l="0" t="0" r="0" b="0"/>
            <wp:docPr id="6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Grp="0" noSelect="0" noChangeAspect="1" noMove="0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60">
      <w:pPr>
        <w:tabs>
          <w:tab w:val="left" w:leader="none" w:pos="2668"/>
        </w:tabs>
        <w:ind w:right="0"/>
        <w:rPr/>
      </w:pPr>
    </w:p>
    <w:p w14:paraId="00000061">
      <w:pPr>
        <w:tabs>
          <w:tab w:val="left" w:leader="none" w:pos="2668"/>
        </w:tabs>
        <w:ind w:right="0"/>
        <w:rPr/>
      </w:pPr>
      <w:r>
        <w:rPr/>
        <w:drawing xmlns:mc="http://schemas.openxmlformats.org/markup-compatibility/2006">
          <wp:inline distT="0" distB="0" distL="0" distR="0">
            <wp:extent cx="2185035" cy="904875"/>
            <wp:effectExtent l="0" t="0" r="0" b="0"/>
            <wp:docPr id="7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Grp="0" noSelect="0" noChangeAspect="1" noMove="0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62">
      <w:pPr>
        <w:tabs>
          <w:tab w:val="left" w:leader="none" w:pos="2668"/>
        </w:tabs>
        <w:ind w:right="0"/>
        <w:rPr/>
      </w:pPr>
    </w:p>
    <w:p w14:paraId="00000063">
      <w:pPr>
        <w:tabs>
          <w:tab w:val="left" w:leader="none" w:pos="2668"/>
        </w:tabs>
        <w:ind w:right="0"/>
        <w:rPr/>
      </w:pPr>
      <w:r>
        <w:rPr/>
        <w:drawing xmlns:mc="http://schemas.openxmlformats.org/markup-compatibility/2006">
          <wp:inline distT="0" distB="0" distL="0" distR="0">
            <wp:extent cx="3549650" cy="2777490"/>
            <wp:effectExtent l="0" t="0" r="0" b="0"/>
            <wp:docPr id="7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Grp="0" noSelect="0" noChangeAspect="1" noMove="0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64">
      <w:pPr>
        <w:tabs>
          <w:tab w:val="left" w:leader="none" w:pos="2668"/>
        </w:tabs>
        <w:ind w:right="0"/>
        <w:rPr/>
      </w:pPr>
      <w:r>
        <w:rPr/>
        <w:drawing xmlns:mc="http://schemas.openxmlformats.org/markup-compatibility/2006">
          <wp:inline distT="0" distB="0" distL="0" distR="0">
            <wp:extent cx="3893820" cy="2797175"/>
            <wp:effectExtent l="0" t="0" r="0" b="0"/>
            <wp:docPr id="7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Grp="0" noSelect="0" noChangeAspect="1" noMove="0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65">
      <w:pPr>
        <w:tabs>
          <w:tab w:val="left" w:leader="none" w:pos="2668"/>
        </w:tabs>
        <w:ind w:right="0"/>
        <w:rPr/>
      </w:pPr>
    </w:p>
    <w:sectPr>
      <w:footnotePr/>
      <w:end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Segoe UI">
    <w:charset w:val="0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1753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2473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3192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3912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4632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5352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6072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6792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7512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fr-FR" w:eastAsia="zh-CN" w:bidi="ar-SA"/>
  <w:clrSchemeMapping w:accent1="accent1" w:accent2="accent2" w:accent3="accent3" w:accent4="accent4" w:accent5="accent5" w:accent6="accent6" w:bg1="light1" w:bg2="light2" w:followedHyperlink="followedHyperlink" w:hyperlink="hyperlink" w:t1="dark1" w:t2="dark2"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beforeAutospacing="0" w:after="200" w:afterAutospacing="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beforeAutospacing="0" w:after="0" w:afterAutospacing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beforeAutospacing="0" w:after="0" w:afterAutospacing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beforeAutospacing="0" w:after="300" w:afterAutospacing="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beforeAutospacing="0" w:after="280" w:afterAutospacing="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beforeAutospacing="0" w:after="0" w:afterAutospacing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beforeAutospacing="0" w:after="0" w:afterAutospacing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on"/>
    <w:unhideWhenUsed w:val="on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beforeAutospacing="0" w:after="0" w:afterAutospacing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beforeAutospacing="0" w:after="0" w:afterAutospacing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beforeAutospacing="0" w:after="0" w:afterAutospacing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beforeAutospacing="0" w:after="200" w:afterAutospacing="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numbering" Target="numbering.xml"/><Relationship Id="rId41" Type="http://schemas.openxmlformats.org/officeDocument/2006/relationships/settings" Target="settings.xml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Par défau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Souls_darklight</dc:creator>
  <cp:lastModifiedBy>Souls_darklight</cp:lastModifiedBy>
</cp:coreProperties>
</file>